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5556" w:right="0" w:firstLine="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All’ UNIONE DEI COMUNI</w:t>
      </w:r>
    </w:p>
    <w:p w:rsidR="00000000" w:rsidDel="00000000" w:rsidP="00000000" w:rsidRDefault="00000000" w:rsidRPr="00000000" w14:paraId="00000002">
      <w:pPr>
        <w:ind w:left="5556" w:right="0" w:firstLine="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VALLI DEL RENO LAVINO E SAMOGGIA</w:t>
      </w:r>
    </w:p>
    <w:p w:rsidR="00000000" w:rsidDel="00000000" w:rsidP="00000000" w:rsidRDefault="00000000" w:rsidRPr="00000000" w14:paraId="00000003">
      <w:pPr>
        <w:ind w:left="5556" w:right="0" w:firstLine="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Servizio Associato Gare</w:t>
      </w:r>
    </w:p>
    <w:p w:rsidR="00000000" w:rsidDel="00000000" w:rsidP="00000000" w:rsidRDefault="00000000" w:rsidRPr="00000000" w14:paraId="00000004">
      <w:pPr>
        <w:ind w:left="5556" w:right="0" w:firstLine="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Sede Servizio: P.zza dei Martiri 6</w:t>
      </w:r>
    </w:p>
    <w:p w:rsidR="00000000" w:rsidDel="00000000" w:rsidP="00000000" w:rsidRDefault="00000000" w:rsidRPr="00000000" w14:paraId="00000005">
      <w:pPr>
        <w:widowControl w:val="0"/>
        <w:ind w:left="5556" w:right="0" w:firstLine="0"/>
        <w:jc w:val="both"/>
        <w:rPr/>
      </w:pPr>
      <w:r w:rsidDel="00000000" w:rsidR="00000000" w:rsidRPr="00000000">
        <w:rPr>
          <w:rFonts w:ascii="Titillium Web" w:cs="Titillium Web" w:eastAsia="Titillium Web" w:hAnsi="Titillium Web"/>
          <w:color w:val="000000"/>
          <w:sz w:val="21"/>
          <w:szCs w:val="21"/>
          <w:rtl w:val="0"/>
        </w:rPr>
        <w:t xml:space="preserve">40037 – Sasso Marconi (BO)</w:t>
      </w:r>
      <w:r w:rsidDel="00000000" w:rsidR="00000000" w:rsidRPr="00000000">
        <w:rPr>
          <w:rtl w:val="0"/>
        </w:rPr>
      </w:r>
    </w:p>
    <w:p w:rsidR="00000000" w:rsidDel="00000000" w:rsidP="00000000" w:rsidRDefault="00000000" w:rsidRPr="00000000" w14:paraId="00000006">
      <w:pPr>
        <w:ind w:left="5669" w:right="0" w:firstLine="0"/>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07">
      <w:pPr>
        <w:ind w:left="5669" w:right="0" w:firstLine="0"/>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08">
      <w:pPr>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DICHIARAZIONE SOSTITUTIVA PER MARCA DA BOLLO</w:t>
      </w:r>
    </w:p>
    <w:p w:rsidR="00000000" w:rsidDel="00000000" w:rsidP="00000000" w:rsidRDefault="00000000" w:rsidRPr="00000000" w14:paraId="00000009">
      <w:pPr>
        <w:jc w:val="center"/>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(ai sensi dell’Art.47 d.p.r. 28 dicembre 2000 n. 445 e d.m. 10 novembre 2011)</w:t>
      </w:r>
    </w:p>
    <w:p w:rsidR="00000000" w:rsidDel="00000000" w:rsidP="00000000" w:rsidRDefault="00000000" w:rsidRPr="00000000" w14:paraId="0000000A">
      <w:pPr>
        <w:rPr>
          <w:rFonts w:ascii="Titillium Web" w:cs="Titillium Web" w:eastAsia="Titillium Web" w:hAnsi="Titillium Web"/>
          <w:b w:val="1"/>
          <w:bCs w:val="1"/>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B">
      <w:pPr>
        <w:rPr>
          <w:rFonts w:ascii="Titillium Web" w:cs="Titillium Web" w:eastAsia="Titillium Web" w:hAnsi="Titillium Web"/>
          <w:b w:val="1"/>
          <w:bCs w:val="1"/>
          <w:i w:val="0"/>
          <w:iCs w:val="0"/>
          <w:smallCaps w:val="0"/>
          <w:strike w:val="0"/>
          <w:color w:val="000000"/>
          <w:sz w:val="21"/>
          <w:szCs w:val="21"/>
          <w:u w:val="none"/>
          <w:vertAlign w:val="baseline"/>
        </w:rPr>
      </w:pPr>
      <w:r w:rsidDel="00000000" w:rsidR="00000000" w:rsidRPr="00000000">
        <w:rPr>
          <w:rtl w:val="0"/>
        </w:rPr>
      </w:r>
    </w:p>
    <w:p w:rsidR="00000000" w:rsidDel="00000000" w:rsidP="00000000" w:rsidRDefault="00000000" w:rsidRPr="00000000" w14:paraId="0000000C">
      <w:pPr>
        <w:widowControl w:val="0"/>
        <w:spacing w:line="276" w:lineRule="auto"/>
        <w:rPr>
          <w:rFonts w:ascii="Arial" w:cs="Arial" w:eastAsia="Arial" w:hAnsi="Arial"/>
          <w:sz w:val="22"/>
          <w:szCs w:val="22"/>
        </w:rPr>
      </w:pPr>
      <w:r w:rsidDel="00000000" w:rsidR="00000000" w:rsidRPr="00000000">
        <w:rPr>
          <w:rtl w:val="0"/>
        </w:rPr>
      </w:r>
    </w:p>
    <w:tbl>
      <w:tblPr>
        <w:tblStyle w:val="Table1"/>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5"/>
        <w:gridCol w:w="4773"/>
        <w:tblGridChange w:id="0">
          <w:tblGrid>
            <w:gridCol w:w="4865"/>
            <w:gridCol w:w="477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widowControl w:val="0"/>
              <w:jc w:val="center"/>
              <w:rPr>
                <w:sz w:val="22"/>
                <w:szCs w:val="22"/>
              </w:rPr>
            </w:pPr>
            <w:r w:rsidDel="00000000" w:rsidR="00000000" w:rsidRPr="00000000">
              <w:rPr>
                <w:sz w:val="22"/>
                <w:szCs w:val="22"/>
                <w:rtl w:val="0"/>
              </w:rPr>
              <w:t xml:space="preserve">Procedura di gara negoziata multi lotto</w:t>
            </w:r>
          </w:p>
          <w:p w:rsidR="00000000" w:rsidDel="00000000" w:rsidP="00000000" w:rsidRDefault="00000000" w:rsidRPr="00000000" w14:paraId="0000000E">
            <w:pPr>
              <w:widowControl w:val="0"/>
              <w:jc w:val="center"/>
              <w:rPr>
                <w:sz w:val="22"/>
                <w:szCs w:val="22"/>
              </w:rPr>
            </w:pPr>
            <w:r w:rsidDel="00000000" w:rsidR="00000000" w:rsidRPr="00000000">
              <w:rPr>
                <w:sz w:val="22"/>
                <w:szCs w:val="22"/>
                <w:rtl w:val="0"/>
              </w:rPr>
              <w:t xml:space="preserve">articolo 50, comma 1, lettera c) , del decreto legislativo n. 36 del 2023</w:t>
            </w:r>
          </w:p>
          <w:p w:rsidR="00000000" w:rsidDel="00000000" w:rsidP="00000000" w:rsidRDefault="00000000" w:rsidRPr="00000000" w14:paraId="0000000F">
            <w:pPr>
              <w:widowControl w:val="0"/>
              <w:jc w:val="center"/>
              <w:rPr>
                <w:sz w:val="22"/>
                <w:szCs w:val="22"/>
              </w:rPr>
            </w:pPr>
            <w:r w:rsidDel="00000000" w:rsidR="00000000" w:rsidRPr="00000000">
              <w:rPr>
                <w:sz w:val="22"/>
                <w:szCs w:val="22"/>
                <w:rtl w:val="0"/>
              </w:rPr>
              <w:t xml:space="preserve">Criterio: offerta del prezzo più basso, inferiore a quello posto a base di gara, mediante ribasso sull'elenco prezzi unitari posto a base di gara,</w:t>
            </w:r>
          </w:p>
          <w:p w:rsidR="00000000" w:rsidDel="00000000" w:rsidP="00000000" w:rsidRDefault="00000000" w:rsidRPr="00000000" w14:paraId="00000010">
            <w:pPr>
              <w:widowControl w:val="0"/>
              <w:jc w:val="center"/>
              <w:rPr>
                <w:sz w:val="22"/>
                <w:szCs w:val="22"/>
              </w:rPr>
            </w:pPr>
            <w:r w:rsidDel="00000000" w:rsidR="00000000" w:rsidRPr="00000000">
              <w:rPr>
                <w:sz w:val="22"/>
                <w:szCs w:val="22"/>
                <w:rtl w:val="0"/>
              </w:rPr>
              <w:t xml:space="preserve">ai sensi dell'articolo 50, comma 4, del decreto legislativo n. 36 del 2023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widowControl w:val="0"/>
              <w:spacing w:after="60" w:before="60" w:lineRule="auto"/>
              <w:jc w:val="center"/>
              <w:rPr>
                <w:b w:val="1"/>
                <w:bCs w:val="1"/>
                <w:sz w:val="22"/>
                <w:szCs w:val="22"/>
              </w:rPr>
            </w:pPr>
            <w:r w:rsidDel="00000000" w:rsidR="00000000" w:rsidRPr="00000000">
              <w:rPr>
                <w:b w:val="1"/>
                <w:bCs w:val="1"/>
                <w:sz w:val="22"/>
                <w:szCs w:val="22"/>
                <w:rtl w:val="0"/>
              </w:rPr>
              <w:t xml:space="preserve">Lavori di manutenzione straordinaria diversi tratti di strade comunali nel territorio montano </w:t>
            </w:r>
          </w:p>
          <w:p w:rsidR="00000000" w:rsidDel="00000000" w:rsidP="00000000" w:rsidRDefault="00000000" w:rsidRPr="00000000" w14:paraId="00000013">
            <w:pPr>
              <w:widowControl w:val="0"/>
              <w:spacing w:after="60" w:before="60" w:lineRule="auto"/>
              <w:jc w:val="center"/>
              <w:rPr>
                <w:b w:val="1"/>
                <w:bCs w:val="1"/>
                <w:sz w:val="22"/>
                <w:szCs w:val="22"/>
              </w:rPr>
            </w:pPr>
            <w:r w:rsidDel="00000000" w:rsidR="00000000" w:rsidRPr="00000000">
              <w:rPr>
                <w:b w:val="1"/>
                <w:bCs w:val="1"/>
                <w:sz w:val="22"/>
                <w:szCs w:val="22"/>
                <w:rtl w:val="0"/>
              </w:rPr>
              <w:t xml:space="preserve">CUP ______________________________________</w:t>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widowControl w:val="0"/>
              <w:jc w:val="both"/>
              <w:rPr>
                <w:b w:val="1"/>
                <w:bCs w:val="1"/>
                <w:sz w:val="22"/>
                <w:szCs w:val="22"/>
              </w:rPr>
            </w:pPr>
            <w:r w:rsidDel="00000000" w:rsidR="00000000" w:rsidRPr="00000000">
              <w:rPr>
                <w:b w:val="1"/>
                <w:bCs w:val="1"/>
                <w:sz w:val="22"/>
                <w:szCs w:val="22"/>
                <w:rtl w:val="0"/>
              </w:rPr>
              <w:t xml:space="preserve">Lotto n. 1 - strade ricomprese nel Comune di Monte San Pietro: via Salvatore Bignami</w:t>
            </w:r>
          </w:p>
          <w:p w:rsidR="00000000" w:rsidDel="00000000" w:rsidP="00000000" w:rsidRDefault="00000000" w:rsidRPr="00000000" w14:paraId="00000016">
            <w:pPr>
              <w:jc w:val="both"/>
              <w:rPr>
                <w:b w:val="1"/>
                <w:bCs w:val="1"/>
                <w:sz w:val="22"/>
                <w:szCs w:val="22"/>
              </w:rPr>
            </w:pPr>
            <w:r w:rsidDel="00000000" w:rsidR="00000000" w:rsidRPr="00000000">
              <w:rPr>
                <w:b w:val="1"/>
                <w:bCs w:val="1"/>
                <w:sz w:val="22"/>
                <w:szCs w:val="22"/>
                <w:rtl w:val="0"/>
              </w:rPr>
              <w:t xml:space="preserve">Lotto n. 2 - strade ricomprese nel Comune di Sasso Marconi: via Montechiaro, via Lagune, via Scopeto</w:t>
            </w:r>
          </w:p>
          <w:p w:rsidR="00000000" w:rsidDel="00000000" w:rsidP="00000000" w:rsidRDefault="00000000" w:rsidRPr="00000000" w14:paraId="00000017">
            <w:pPr>
              <w:jc w:val="both"/>
              <w:rPr>
                <w:b w:val="1"/>
                <w:bCs w:val="1"/>
                <w:sz w:val="22"/>
                <w:szCs w:val="22"/>
              </w:rPr>
            </w:pPr>
            <w:r w:rsidDel="00000000" w:rsidR="00000000" w:rsidRPr="00000000">
              <w:rPr>
                <w:b w:val="1"/>
                <w:bCs w:val="1"/>
                <w:sz w:val="22"/>
                <w:szCs w:val="22"/>
                <w:rtl w:val="0"/>
              </w:rPr>
              <w:t xml:space="preserve">Lotto n. 3 - strade ricomprese nel Comune di Valsamoggia località Monteveglio, località Castello di Serravalle e Savigno: via Cà Bianca, via Alessandro Volta, via Cà Agostini</w:t>
            </w:r>
          </w:p>
          <w:p w:rsidR="00000000" w:rsidDel="00000000" w:rsidP="00000000" w:rsidRDefault="00000000" w:rsidRPr="00000000" w14:paraId="00000018">
            <w:pPr>
              <w:rPr>
                <w:sz w:val="22"/>
                <w:szCs w:val="22"/>
              </w:rPr>
            </w:pPr>
            <w:r w:rsidDel="00000000" w:rsidR="00000000" w:rsidRPr="00000000">
              <w:rPr>
                <w:rtl w:val="0"/>
              </w:rPr>
            </w:r>
          </w:p>
        </w:tc>
      </w:tr>
    </w:tbl>
    <w:p w:rsidR="00000000" w:rsidDel="00000000" w:rsidP="00000000" w:rsidRDefault="00000000" w:rsidRPr="00000000" w14:paraId="0000001A">
      <w:pPr>
        <w:jc w:val="right"/>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1B">
      <w:pPr>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1C">
      <w:pPr>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Il/la sottoscritto/a_ ______________________________________, nato/a a ____________________ il __________________, codice fiscale ______________________________________, residente a _____________________, in via/piazza ______________________________, n. ___________, Tel. _____________________________, Pec/Mail _____________________________________ in qualità di:</w:t>
      </w:r>
    </w:p>
    <w:p w:rsidR="00000000" w:rsidDel="00000000" w:rsidP="00000000" w:rsidRDefault="00000000" w:rsidRPr="00000000" w14:paraId="0000001D">
      <w:pPr>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 ] legale rappresentante della società ________________________________ con sede legale nel Comune di ___________________________ Prov. _____ P.I ____________________________; [ ] altro_______________________________________________________________________, </w:t>
      </w:r>
    </w:p>
    <w:p w:rsidR="00000000" w:rsidDel="00000000" w:rsidP="00000000" w:rsidRDefault="00000000" w:rsidRPr="00000000" w14:paraId="0000001E">
      <w:pPr>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1F">
      <w:pPr>
        <w:jc w:val="both"/>
        <w:rPr>
          <w:rFonts w:ascii="Titillium Web" w:cs="Titillium Web" w:eastAsia="Titillium Web" w:hAnsi="Titillium Web"/>
          <w:b w:val="1"/>
          <w:bCs w:val="1"/>
          <w:i w:val="1"/>
          <w:iCs w:val="1"/>
          <w:sz w:val="21"/>
          <w:szCs w:val="21"/>
        </w:rPr>
      </w:pPr>
      <w:r w:rsidDel="00000000" w:rsidR="00000000" w:rsidRPr="00000000">
        <w:rPr>
          <w:rFonts w:ascii="Titillium Web" w:cs="Titillium Web" w:eastAsia="Titillium Web" w:hAnsi="Titillium Web"/>
          <w:b w:val="1"/>
          <w:bCs w:val="1"/>
          <w:i w:val="1"/>
          <w:iCs w:val="1"/>
          <w:sz w:val="21"/>
          <w:szCs w:val="21"/>
          <w:rtl w:val="0"/>
        </w:rPr>
        <w:t xml:space="preserve">valendosi della facoltà prevista dall’art. 3 del Decreto Ministeriale 10/11/2011 e degli articoli 46 e 47 del Decreto del Presidente della Repubblica 28/12/2000, n. 445, consapevole delle sanzioni penali previste dall’art.75 del D.P.R. citato e dall’art. 483 del Codice Penale in caso di dichiarazioni non veritiere e di falsità in atti</w:t>
      </w:r>
    </w:p>
    <w:p w:rsidR="00000000" w:rsidDel="00000000" w:rsidP="00000000" w:rsidRDefault="00000000" w:rsidRPr="00000000" w14:paraId="00000020">
      <w:pPr>
        <w:jc w:val="both"/>
        <w:rPr>
          <w:rFonts w:ascii="Titillium Web" w:cs="Titillium Web" w:eastAsia="Titillium Web" w:hAnsi="Titillium Web"/>
          <w:b w:val="1"/>
          <w:bCs w:val="1"/>
          <w:i w:val="1"/>
          <w:iCs w:val="1"/>
          <w:sz w:val="21"/>
          <w:szCs w:val="21"/>
        </w:rPr>
      </w:pPr>
      <w:r w:rsidDel="00000000" w:rsidR="00000000" w:rsidRPr="00000000">
        <w:rPr>
          <w:rtl w:val="0"/>
        </w:rPr>
      </w:r>
    </w:p>
    <w:p w:rsidR="00000000" w:rsidDel="00000000" w:rsidP="00000000" w:rsidRDefault="00000000" w:rsidRPr="00000000" w14:paraId="00000021">
      <w:pPr>
        <w:jc w:val="center"/>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22">
      <w:pPr>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DICHIARA</w:t>
      </w:r>
    </w:p>
    <w:p w:rsidR="00000000" w:rsidDel="00000000" w:rsidP="00000000" w:rsidRDefault="00000000" w:rsidRPr="00000000" w14:paraId="00000023">
      <w:pPr>
        <w:jc w:val="both"/>
        <w:rPr>
          <w:rFonts w:ascii="Titillium Web" w:cs="Titillium Web" w:eastAsia="Titillium Web" w:hAnsi="Titillium Web"/>
          <w:b w:val="1"/>
          <w:bCs w:val="1"/>
          <w:i w:val="0"/>
          <w:iCs w:val="0"/>
          <w:smallCaps w:val="0"/>
          <w:color w:val="000000"/>
          <w:sz w:val="21"/>
          <w:szCs w:val="21"/>
        </w:rPr>
      </w:pPr>
      <w:r w:rsidDel="00000000" w:rsidR="00000000" w:rsidRPr="00000000">
        <w:rPr>
          <w:rtl w:val="0"/>
        </w:rPr>
      </w:r>
    </w:p>
    <w:p w:rsidR="00000000" w:rsidDel="00000000" w:rsidP="00000000" w:rsidRDefault="00000000" w:rsidRPr="00000000" w14:paraId="00000024">
      <w:pPr>
        <w:jc w:val="both"/>
        <w:rPr>
          <w:rFonts w:ascii="Verdana" w:cs="Verdana" w:eastAsia="Verdana" w:hAnsi="Verdana"/>
          <w:b w:val="1"/>
          <w:bCs w:val="1"/>
          <w:sz w:val="20"/>
          <w:szCs w:val="20"/>
        </w:rPr>
      </w:pPr>
      <w:r w:rsidDel="00000000" w:rsidR="00000000" w:rsidRPr="00000000">
        <w:rPr>
          <w:rFonts w:ascii="Titillium Web" w:cs="Titillium Web" w:eastAsia="Titillium Web" w:hAnsi="Titillium Web"/>
          <w:b w:val="1"/>
          <w:bCs w:val="1"/>
          <w:i w:val="0"/>
          <w:iCs w:val="0"/>
          <w:smallCaps w:val="0"/>
          <w:color w:val="000000"/>
          <w:sz w:val="21"/>
          <w:szCs w:val="21"/>
          <w:rtl w:val="0"/>
        </w:rPr>
        <w:t xml:space="preserve">PER ISTANZA DI PARTECIPAZIONE </w:t>
      </w:r>
      <w:r w:rsidDel="00000000" w:rsidR="00000000" w:rsidRPr="00000000">
        <w:rPr>
          <w:rtl w:val="0"/>
        </w:rPr>
      </w:r>
    </w:p>
    <w:tbl>
      <w:tblPr>
        <w:tblStyle w:val="Table2"/>
        <w:tblW w:w="9918.0" w:type="dxa"/>
        <w:jc w:val="left"/>
        <w:tblInd w:w="-281.0" w:type="dxa"/>
        <w:tblBorders>
          <w:top w:color="000000" w:space="0" w:sz="4" w:val="single"/>
          <w:left w:color="000000" w:space="0" w:sz="4" w:val="single"/>
          <w:bottom w:color="000000" w:space="0" w:sz="4" w:val="single"/>
          <w:insideH w:color="000000" w:space="0" w:sz="4" w:val="single"/>
        </w:tblBorders>
        <w:tblLayout w:type="fixed"/>
        <w:tblLook w:val="0000"/>
      </w:tblPr>
      <w:tblGrid>
        <w:gridCol w:w="6408"/>
        <w:gridCol w:w="3510"/>
        <w:tblGridChange w:id="0">
          <w:tblGrid>
            <w:gridCol w:w="6408"/>
            <w:gridCol w:w="351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26">
            <w:pPr>
              <w:numPr>
                <w:ilvl w:val="0"/>
                <w:numId w:val="2"/>
              </w:numPr>
              <w:ind w:left="720" w:hanging="360"/>
              <w:jc w:val="both"/>
              <w:rPr>
                <w:rFonts w:ascii="Titillium Web" w:cs="Titillium Web" w:eastAsia="Titillium Web" w:hAnsi="Titillium Web"/>
              </w:rPr>
            </w:pPr>
            <w:r w:rsidDel="00000000" w:rsidR="00000000" w:rsidRPr="00000000">
              <w:rPr>
                <w:rFonts w:ascii="Titillium Web" w:cs="Titillium Web" w:eastAsia="Titillium Web" w:hAnsi="Titillium Web"/>
                <w:sz w:val="21"/>
                <w:szCs w:val="21"/>
                <w:rtl w:val="0"/>
              </w:rPr>
              <w:t xml:space="preserve">Che la marca da bollo ID n. ____________________ emessa in data ____________ è stata annullata per la sottoscrizione </w:t>
            </w:r>
            <w:r w:rsidDel="00000000" w:rsidR="00000000" w:rsidRPr="00000000">
              <w:rPr>
                <w:rFonts w:ascii="Titillium Web" w:cs="Titillium Web" w:eastAsia="Titillium Web" w:hAnsi="Titillium Web"/>
                <w:b w:val="1"/>
                <w:bCs w:val="1"/>
                <w:sz w:val="21"/>
                <w:szCs w:val="21"/>
                <w:rtl w:val="0"/>
              </w:rPr>
              <w:t xml:space="preserve">dell’istanza di partecipazione</w:t>
            </w:r>
            <w:r w:rsidDel="00000000" w:rsidR="00000000" w:rsidRPr="00000000">
              <w:rPr>
                <w:rFonts w:ascii="Titillium Web" w:cs="Titillium Web" w:eastAsia="Titillium Web" w:hAnsi="Titillium Web"/>
                <w:sz w:val="21"/>
                <w:szCs w:val="21"/>
                <w:rtl w:val="0"/>
              </w:rPr>
              <w:t xml:space="preserve"> per i seguenti lotti _______________________________</w:t>
            </w:r>
          </w:p>
          <w:p w:rsidR="00000000" w:rsidDel="00000000" w:rsidP="00000000" w:rsidRDefault="00000000" w:rsidRPr="00000000" w14:paraId="00000027">
            <w:pPr>
              <w:ind w:left="720" w:right="0" w:firstLine="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___________________________________________</w:t>
            </w:r>
          </w:p>
          <w:p w:rsidR="00000000" w:rsidDel="00000000" w:rsidP="00000000" w:rsidRDefault="00000000" w:rsidRPr="00000000" w14:paraId="00000028">
            <w:pPr>
              <w:ind w:left="360" w:right="0" w:hanging="360"/>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29">
            <w:pPr>
              <w:numPr>
                <w:ilvl w:val="0"/>
                <w:numId w:val="1"/>
              </w:numPr>
              <w:ind w:left="720" w:hanging="36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Si impegna a conservare l’originale della marca da bollo annullata</w:t>
            </w:r>
          </w:p>
          <w:p w:rsidR="00000000" w:rsidDel="00000000" w:rsidP="00000000" w:rsidRDefault="00000000" w:rsidRPr="00000000" w14:paraId="0000002A">
            <w:pPr>
              <w:jc w:val="both"/>
              <w:rPr>
                <w:rFonts w:ascii="Titillium Web" w:cs="Titillium Web" w:eastAsia="Titillium Web" w:hAnsi="Titillium Web"/>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jc w:val="center"/>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2C">
            <w:pPr>
              <w:jc w:val="center"/>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2D">
            <w:pPr>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Apporre la marca</w:t>
            </w:r>
          </w:p>
          <w:p w:rsidR="00000000" w:rsidDel="00000000" w:rsidP="00000000" w:rsidRDefault="00000000" w:rsidRPr="00000000" w14:paraId="0000002E">
            <w:pPr>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da bollo e annullarla</w:t>
            </w:r>
          </w:p>
          <w:p w:rsidR="00000000" w:rsidDel="00000000" w:rsidP="00000000" w:rsidRDefault="00000000" w:rsidRPr="00000000" w14:paraId="0000002F">
            <w:pPr>
              <w:jc w:val="center"/>
              <w:rPr>
                <w:rFonts w:ascii="Titillium Web" w:cs="Titillium Web" w:eastAsia="Titillium Web" w:hAnsi="Titillium Web"/>
                <w:b w:val="1"/>
                <w:bCs w:val="1"/>
                <w:sz w:val="21"/>
                <w:szCs w:val="21"/>
              </w:rPr>
            </w:pPr>
            <w:r w:rsidDel="00000000" w:rsidR="00000000" w:rsidRPr="00000000">
              <w:rPr>
                <w:rtl w:val="0"/>
              </w:rPr>
            </w:r>
          </w:p>
        </w:tc>
      </w:tr>
    </w:tbl>
    <w:p w:rsidR="00000000" w:rsidDel="00000000" w:rsidP="00000000" w:rsidRDefault="00000000" w:rsidRPr="00000000" w14:paraId="00000030">
      <w:pPr>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1">
      <w:pPr>
        <w:jc w:val="center"/>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2">
      <w:pPr>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Luogo e data ________________________</w:t>
      </w:r>
    </w:p>
    <w:p w:rsidR="00000000" w:rsidDel="00000000" w:rsidP="00000000" w:rsidRDefault="00000000" w:rsidRPr="00000000" w14:paraId="00000033">
      <w:pPr>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4">
      <w:pPr>
        <w:ind w:left="5580" w:right="0" w:firstLine="0"/>
        <w:jc w:val="center"/>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IL DICHIARANTE</w:t>
      </w:r>
    </w:p>
    <w:p w:rsidR="00000000" w:rsidDel="00000000" w:rsidP="00000000" w:rsidRDefault="00000000" w:rsidRPr="00000000" w14:paraId="00000035">
      <w:pPr>
        <w:ind w:left="5580" w:right="0" w:firstLine="0"/>
        <w:jc w:val="center"/>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(cognome e nome)</w:t>
      </w:r>
    </w:p>
    <w:p w:rsidR="00000000" w:rsidDel="00000000" w:rsidP="00000000" w:rsidRDefault="00000000" w:rsidRPr="00000000" w14:paraId="00000036">
      <w:pPr>
        <w:ind w:left="5580" w:right="0" w:firstLine="0"/>
        <w:jc w:val="center"/>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7">
      <w:pPr>
        <w:ind w:left="5580" w:right="0" w:firstLine="0"/>
        <w:jc w:val="center"/>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______________________________</w:t>
      </w:r>
    </w:p>
    <w:p w:rsidR="00000000" w:rsidDel="00000000" w:rsidP="00000000" w:rsidRDefault="00000000" w:rsidRPr="00000000" w14:paraId="00000038">
      <w:pPr>
        <w:ind w:left="6372" w:right="0" w:firstLine="0"/>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9">
      <w:pPr>
        <w:ind w:left="6372" w:right="0" w:firstLine="0"/>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A">
      <w:pPr>
        <w:ind w:left="6372" w:right="0" w:firstLine="0"/>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B">
      <w:pPr>
        <w:ind w:left="6372" w:right="0" w:firstLine="0"/>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C">
      <w:pPr>
        <w:spacing w:after="57" w:before="57" w:line="276" w:lineRule="auto"/>
        <w:jc w:val="both"/>
        <w:rPr>
          <w:rFonts w:ascii="Titillium Web" w:cs="Titillium Web" w:eastAsia="Titillium Web" w:hAnsi="Titillium Web"/>
          <w:sz w:val="16"/>
          <w:szCs w:val="16"/>
        </w:rPr>
      </w:pPr>
      <w:r w:rsidDel="00000000" w:rsidR="00000000" w:rsidRPr="00000000">
        <w:rPr>
          <w:rFonts w:ascii="Titillium Web" w:cs="Titillium Web" w:eastAsia="Titillium Web" w:hAnsi="Titillium Web"/>
          <w:b w:val="1"/>
          <w:bCs w:val="1"/>
          <w:sz w:val="16"/>
          <w:szCs w:val="16"/>
          <w:u w:val="single"/>
          <w:rtl w:val="0"/>
        </w:rPr>
        <w:t xml:space="preserve">NOTE</w:t>
      </w:r>
      <w:r w:rsidDel="00000000" w:rsidR="00000000" w:rsidRPr="00000000">
        <w:rPr>
          <w:rFonts w:ascii="Titillium Web" w:cs="Titillium Web" w:eastAsia="Titillium Web" w:hAnsi="Titillium Web"/>
          <w:b w:val="1"/>
          <w:bCs w:val="1"/>
          <w:sz w:val="16"/>
          <w:szCs w:val="16"/>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4"/>
        </w:tabs>
        <w:spacing w:after="57" w:before="57" w:line="276" w:lineRule="auto"/>
        <w:ind w:left="0" w:right="0" w:firstLine="0"/>
        <w:jc w:val="both"/>
        <w:rPr>
          <w:rFonts w:ascii="Titillium Web" w:cs="Titillium Web" w:eastAsia="Titillium Web" w:hAnsi="Titillium Web"/>
          <w:b w:val="1"/>
          <w:bCs w:val="1"/>
          <w:i w:val="0"/>
          <w:iCs w:val="0"/>
          <w:smallCaps w:val="0"/>
          <w:strike w:val="0"/>
          <w:color w:val="000000"/>
          <w:sz w:val="16"/>
          <w:szCs w:val="16"/>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6"/>
          <w:szCs w:val="16"/>
          <w:u w:val="none"/>
          <w:shd w:fill="auto" w:val="clear"/>
          <w:vertAlign w:val="baseline"/>
          <w:rtl w:val="0"/>
        </w:rPr>
        <w:t xml:space="preserve">sottoscritta dal Legale Rappresentante dell’Operatore Economico partecipante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4"/>
        </w:tabs>
        <w:spacing w:after="57" w:before="57" w:line="276" w:lineRule="auto"/>
        <w:ind w:left="0" w:right="0" w:firstLine="0"/>
        <w:jc w:val="both"/>
        <w:rPr>
          <w:rFonts w:ascii="Titillium Web" w:cs="Titillium Web" w:eastAsia="Titillium Web" w:hAnsi="Titillium Web"/>
          <w:b w:val="0"/>
          <w:bCs w:val="0"/>
          <w:i w:val="0"/>
          <w:iCs w:val="0"/>
          <w:smallCaps w:val="0"/>
          <w:strike w:val="0"/>
          <w:color w:val="000000"/>
          <w:sz w:val="16"/>
          <w:szCs w:val="16"/>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6"/>
          <w:szCs w:val="16"/>
          <w:u w:val="none"/>
          <w:shd w:fill="auto" w:val="clear"/>
          <w:vertAlign w:val="baseline"/>
          <w:rtl w:val="0"/>
        </w:rPr>
        <w:t xml:space="preserve">sottoscritta da tutti i componenti di concorrenti plurimi raggruppati o raggruppandi</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4"/>
        </w:tabs>
        <w:spacing w:after="57" w:before="57"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6"/>
          <w:szCs w:val="16"/>
          <w:u w:val="none"/>
          <w:shd w:fill="auto" w:val="clear"/>
          <w:vertAlign w:val="baseline"/>
          <w:rtl w:val="0"/>
        </w:rPr>
        <w:t xml:space="preserve">sottoscritta anche da un procuratore del Legale Rappresentante ed in tal caso deve essere allegata la copia  conforme della procura notarile </w:t>
      </w:r>
      <w:r w:rsidDel="00000000" w:rsidR="00000000" w:rsidRPr="00000000">
        <w:rPr>
          <w:rFonts w:ascii="Titillium Web" w:cs="Titillium Web" w:eastAsia="Titillium Web" w:hAnsi="Titillium Web"/>
          <w:b w:val="1"/>
          <w:bCs w:val="1"/>
          <w:i w:val="0"/>
          <w:iCs w:val="0"/>
          <w:smallCaps w:val="0"/>
          <w:strike w:val="0"/>
          <w:color w:val="000000"/>
          <w:sz w:val="16"/>
          <w:szCs w:val="16"/>
          <w:u w:val="single"/>
          <w:shd w:fill="auto" w:val="clear"/>
          <w:vertAlign w:val="baseline"/>
          <w:rtl w:val="0"/>
        </w:rPr>
        <w:t xml:space="preserve">nel solo caso </w:t>
      </w:r>
      <w:r w:rsidDel="00000000" w:rsidR="00000000" w:rsidRPr="00000000">
        <w:rPr>
          <w:rFonts w:ascii="Titillium Web" w:cs="Titillium Web" w:eastAsia="Titillium Web" w:hAnsi="Titillium Web"/>
          <w:b w:val="1"/>
          <w:bCs w:val="1"/>
          <w:i w:val="0"/>
          <w:iCs w:val="0"/>
          <w:smallCaps w:val="0"/>
          <w:strike w:val="0"/>
          <w:color w:val="000000"/>
          <w:sz w:val="16"/>
          <w:szCs w:val="16"/>
          <w:u w:val="none"/>
          <w:shd w:fill="auto" w:val="clear"/>
          <w:vertAlign w:val="baseline"/>
          <w:rtl w:val="0"/>
        </w:rPr>
        <w:t xml:space="preserve">in cui dalla visura camerale del concorrente risulti l’indicazione espressa dei poteri rappresentativi conferiti con la procura, la dichiarazione sostitutiva resa dal procuratore attestante la sussistenza dei poteri rappresentativi risultanti dalla visura;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4"/>
        </w:tabs>
        <w:spacing w:after="57" w:before="57" w:line="276" w:lineRule="auto"/>
        <w:ind w:left="0" w:right="56"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Titillium Web" w:cs="Titillium Web" w:eastAsia="Titillium Web" w:hAnsi="Titillium Web"/>
          <w:b w:val="1"/>
          <w:bCs w:val="1"/>
          <w:i w:val="0"/>
          <w:iCs w:val="0"/>
          <w:smallCaps w:val="0"/>
          <w:strike w:val="0"/>
          <w:color w:val="000000"/>
          <w:sz w:val="16"/>
          <w:szCs w:val="16"/>
          <w:u w:val="single"/>
          <w:shd w:fill="auto" w:val="clear"/>
          <w:vertAlign w:val="baseline"/>
          <w:rtl w:val="0"/>
        </w:rPr>
        <w:t xml:space="preserve">N.B: da allegarsi copia leggibile del documento di identità in corso di validità del/dei sottoscrittore/sottoscrittori qualora non si sottoscriva con firma digitale</w:t>
      </w:r>
      <w:r w:rsidDel="00000000" w:rsidR="00000000" w:rsidRPr="00000000">
        <w:rPr>
          <w:rFonts w:ascii="Titillium Web" w:cs="Titillium Web" w:eastAsia="Titillium Web" w:hAnsi="Titillium Web"/>
          <w:b w:val="1"/>
          <w:bCs w:val="1"/>
          <w:i w:val="0"/>
          <w:iCs w:val="0"/>
          <w:smallCaps w:val="0"/>
          <w:strike w:val="0"/>
          <w:color w:val="000000"/>
          <w:sz w:val="16"/>
          <w:szCs w:val="16"/>
          <w:u w:val="none"/>
          <w:shd w:fill="auto" w:val="clear"/>
          <w:vertAlign w:val="baseline"/>
          <w:rtl w:val="0"/>
        </w:rPr>
        <w:t xml:space="preserve">.</w:t>
      </w:r>
      <w:r w:rsidDel="00000000" w:rsidR="00000000" w:rsidRPr="00000000">
        <w:rPr>
          <w:rtl w:val="0"/>
        </w:rPr>
      </w:r>
    </w:p>
    <w:sectPr>
      <w:pgSz w:h="16838" w:w="11906" w:orient="portrait"/>
      <w:pgMar w:bottom="1134" w:top="1079"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Verdana"/>
  <w:font w:name="Times New Roman"/>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
    <w:lvl w:ilvl="0">
      <w:start w:val="1"/>
      <w:numFmt w:val="bullet"/>
      <w:lvlText w:val=""/>
      <w:lvlJc w:val="left"/>
      <w:pPr>
        <w:ind w:left="720" w:hanging="360"/>
      </w:pPr>
      <w:rPr>
        <w:sz w:val="20"/>
        <w:szCs w:val="20"/>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sz w:val="20"/>
        <w:szCs w:val="20"/>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sz w:val="20"/>
        <w:szCs w:val="20"/>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3" w:right="0" w:firstLine="0"/>
    </w:pPr>
    <w:rPr>
      <w:rFonts w:ascii="Cambria Math" w:cs="Cambria Math" w:eastAsia="Cambria Math" w:hAnsi="Cambria Math"/>
      <w:sz w:val="24"/>
      <w:szCs w:val="24"/>
    </w:rPr>
  </w:style>
  <w:style w:type="paragraph" w:styleId="Heading2">
    <w:name w:val="heading 2"/>
    <w:basedOn w:val="Normal"/>
    <w:next w:val="Normal"/>
    <w:pPr>
      <w:spacing w:after="0" w:before="36" w:lineRule="auto"/>
      <w:ind w:left="109" w:right="0" w:firstLine="0"/>
      <w:jc w:val="both"/>
    </w:pPr>
    <w:rPr>
      <w:rFonts w:ascii="Trebuchet MS" w:cs="Trebuchet MS" w:eastAsia="Trebuchet MS" w:hAnsi="Trebuchet MS"/>
      <w:i w:val="1"/>
      <w:iCs w:val="1"/>
      <w:sz w:val="19"/>
      <w:szCs w:val="19"/>
    </w:rPr>
  </w:style>
  <w:style w:type="paragraph" w:styleId="Heading3">
    <w:name w:val="heading 3"/>
    <w:basedOn w:val="Normal"/>
    <w:next w:val="Normal"/>
    <w:pPr>
      <w:ind w:left="585" w:right="0" w:firstLine="0"/>
    </w:pPr>
    <w:rPr>
      <w:rFonts w:ascii="Trebuchet MS" w:cs="Trebuchet MS" w:eastAsia="Trebuchet MS" w:hAnsi="Trebuchet MS"/>
      <w:b w:val="1"/>
      <w:bCs w:val="1"/>
      <w:sz w:val="18"/>
      <w:szCs w:val="18"/>
    </w:rPr>
  </w:style>
  <w:style w:type="paragraph" w:styleId="Heading4">
    <w:name w:val="heading 4"/>
    <w:basedOn w:val="Normal"/>
    <w:next w:val="Normal"/>
    <w:pPr>
      <w:ind w:left="228" w:right="0" w:firstLine="0"/>
      <w:jc w:val="both"/>
    </w:pPr>
    <w:rPr>
      <w:rFonts w:ascii="Trebuchet MS" w:cs="Trebuchet MS" w:eastAsia="Trebuchet MS" w:hAnsi="Trebuchet MS"/>
      <w:b w:val="1"/>
      <w:bCs w:val="1"/>
      <w:i w:val="1"/>
      <w:iCs w:val="1"/>
      <w:sz w:val="18"/>
      <w:szCs w:val="18"/>
    </w:rPr>
  </w:style>
  <w:style w:type="paragraph" w:styleId="Heading5">
    <w:name w:val="heading 5"/>
    <w:basedOn w:val="Normal"/>
    <w:next w:val="Normal"/>
    <w:pPr>
      <w:keepNext w:val="1"/>
      <w:spacing w:after="60" w:before="120" w:lineRule="auto"/>
    </w:pPr>
    <w:rPr>
      <w:rFonts w:ascii="Liberation Sans" w:cs="Liberation Sans" w:eastAsia="Liberation Sans" w:hAnsi="Liberation Sans"/>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